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CF8D" w14:textId="77777777" w:rsidR="0028019E" w:rsidRPr="00F06F63" w:rsidRDefault="0028019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91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A2577" w:rsidRPr="00F06F63" w14:paraId="4FB6FE34" w14:textId="77777777" w:rsidTr="00EA4E1F">
        <w:tc>
          <w:tcPr>
            <w:tcW w:w="10915" w:type="dxa"/>
          </w:tcPr>
          <w:p w14:paraId="4D24163C" w14:textId="37977391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ROLE TITLE: </w:t>
            </w:r>
            <w:bookmarkStart w:id="0" w:name="_Hlk82094226"/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Inward</w:t>
            </w:r>
            <w:r w:rsidR="004877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Investment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Senior Sector </w:t>
            </w:r>
            <w:r w:rsidR="004877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Manager </w:t>
            </w:r>
          </w:p>
          <w:bookmarkEnd w:id="0"/>
          <w:p w14:paraId="7C75D69B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5ADF1376" w14:textId="77777777" w:rsidTr="00EA4E1F">
        <w:tc>
          <w:tcPr>
            <w:tcW w:w="10915" w:type="dxa"/>
          </w:tcPr>
          <w:p w14:paraId="3A430182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EMPLOYER: </w:t>
            </w:r>
            <w:r w:rsidR="0018240F"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2D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Advance Northumberland </w:t>
            </w:r>
          </w:p>
          <w:p w14:paraId="379DB24B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7CDA776" w14:textId="6BE25268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RESPONSIBLE TO: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Senior Business Growth &amp; Investment Manager</w:t>
            </w:r>
          </w:p>
          <w:p w14:paraId="679E26E4" w14:textId="77777777" w:rsidR="00C42633" w:rsidRPr="00F06F63" w:rsidRDefault="00C426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46EE8B" w14:textId="77777777" w:rsidR="003D3E74" w:rsidRPr="00F06F63" w:rsidRDefault="00601A23" w:rsidP="003D3E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RESPONSIBLE FOR: </w:t>
            </w:r>
            <w:r w:rsidR="00A9002F"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CB1A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N/A</w:t>
            </w:r>
          </w:p>
          <w:p w14:paraId="713A0BAE" w14:textId="77777777" w:rsidR="00DD539E" w:rsidRPr="00F06F63" w:rsidRDefault="00DD539E" w:rsidP="00DD5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3684EE71" w14:textId="77777777" w:rsidTr="00EA4E1F">
        <w:tc>
          <w:tcPr>
            <w:tcW w:w="10915" w:type="dxa"/>
          </w:tcPr>
          <w:p w14:paraId="3AFA7C72" w14:textId="2E14CDA8" w:rsidR="00601A23" w:rsidRPr="00F06F63" w:rsidRDefault="00601A23" w:rsidP="001B7C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PLACE OF WORK: 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Wan</w:t>
            </w:r>
            <w:r w:rsidR="00AC3B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beck </w:t>
            </w: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Workspace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Ashington</w:t>
            </w:r>
            <w:r w:rsidR="00B056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plus Hybrid working</w:t>
            </w:r>
          </w:p>
        </w:tc>
      </w:tr>
    </w:tbl>
    <w:p w14:paraId="24BC3467" w14:textId="77777777" w:rsidR="00601A23" w:rsidRPr="00F06F63" w:rsidRDefault="00601A2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959"/>
      </w:tblGrid>
      <w:tr w:rsidR="001A2577" w:rsidRPr="00F06F63" w14:paraId="56AC00BF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6333149B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AA5933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72CB9AA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Role Purpose</w:t>
            </w:r>
          </w:p>
          <w:p w14:paraId="69DB9B2D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8DD072F" w14:textId="77777777" w:rsidR="00627B1F" w:rsidRPr="00F06F63" w:rsidRDefault="00627B1F" w:rsidP="00627B1F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6956E3" w14:textId="618ED45D" w:rsidR="00D15027" w:rsidRDefault="00D15027" w:rsidP="00D150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support and deliver economic growth activities across Northumberland, including inward investment, strategic account management, business support, sector development and innovation leading to the creation, growth and safeguarding of jobs a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nd businesses in Northumberland.</w:t>
            </w:r>
          </w:p>
          <w:p w14:paraId="3F75EE98" w14:textId="77777777" w:rsidR="006223BE" w:rsidRPr="006223BE" w:rsidRDefault="006223BE" w:rsidP="006223BE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83DCF7" w14:textId="6BB3FEFC" w:rsidR="006223BE" w:rsidRPr="006223BE" w:rsidRDefault="006223BE" w:rsidP="00D150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3BE">
              <w:rPr>
                <w:rFonts w:ascii="Arial" w:hAnsi="Arial" w:cs="Arial"/>
                <w:sz w:val="22"/>
                <w:szCs w:val="22"/>
              </w:rPr>
              <w:t>To lead on and deliver </w:t>
            </w:r>
            <w:r w:rsidR="007164A5">
              <w:rPr>
                <w:rFonts w:ascii="Arial" w:hAnsi="Arial" w:cs="Arial"/>
                <w:sz w:val="22"/>
                <w:szCs w:val="22"/>
              </w:rPr>
              <w:t>Offshore wind</w:t>
            </w:r>
            <w:r w:rsidRPr="006223BE">
              <w:rPr>
                <w:rFonts w:ascii="Arial" w:hAnsi="Arial" w:cs="Arial"/>
                <w:sz w:val="22"/>
                <w:szCs w:val="22"/>
              </w:rPr>
              <w:t xml:space="preserve"> sector inward investment and professional support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 economic growth activities within Northumberland.</w:t>
            </w:r>
          </w:p>
          <w:p w14:paraId="69F89772" w14:textId="77777777" w:rsidR="00FB1966" w:rsidRPr="006223BE" w:rsidRDefault="00FB1966" w:rsidP="006223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D6D57F" w14:textId="77777777" w:rsidR="00FB1966" w:rsidRPr="00F06F63" w:rsidRDefault="00FB1966" w:rsidP="00CF12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and develop</w:t>
            </w:r>
            <w:r w:rsidR="00A9002F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strong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partnership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across a range of networks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, with a number of stakeholders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promote 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achieve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economic 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growth targets.</w:t>
            </w:r>
          </w:p>
          <w:p w14:paraId="4CC91DE3" w14:textId="77777777" w:rsidR="00FB1966" w:rsidRPr="00F06F63" w:rsidRDefault="00FB1966" w:rsidP="00FB1966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36C91F" w14:textId="2343CD18" w:rsidR="006223BE" w:rsidRPr="006223BE" w:rsidRDefault="00A9002F" w:rsidP="00DB3529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2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D15027" w:rsidRPr="00622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support the delivery </w:t>
            </w:r>
            <w:r w:rsidR="006223BE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223BE" w:rsidRP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of Tyne Combined Authority (NTCA)</w:t>
            </w:r>
            <w:r w:rsid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Inward Investment Capacity Building programme</w:t>
            </w:r>
            <w:r w:rsidR="006223BE" w:rsidRP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5A8C6282" w14:textId="2CAFFFC3" w:rsidR="006223BE" w:rsidRPr="00B82DB8" w:rsidRDefault="006223BE" w:rsidP="00E35B70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5CCFD976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1FA59254" w14:textId="77777777" w:rsidR="00866042" w:rsidRPr="00F06F63" w:rsidRDefault="00866042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Dimensions</w:t>
            </w:r>
          </w:p>
        </w:tc>
        <w:tc>
          <w:tcPr>
            <w:tcW w:w="8959" w:type="dxa"/>
          </w:tcPr>
          <w:p w14:paraId="2DEB6C6B" w14:textId="77777777" w:rsidR="00104DF8" w:rsidRPr="00F06F63" w:rsidRDefault="00104DF8" w:rsidP="00A076C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BAB1EC9" w14:textId="77777777" w:rsidR="00D15027" w:rsidRDefault="000D0F13" w:rsidP="00D150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Advance Northumberland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will act on behalf of Northumberland County Council, and other partners, to encourage and facilitate ec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onomic growth in Northumberland.</w:t>
            </w:r>
          </w:p>
          <w:p w14:paraId="2EC8DDA9" w14:textId="77777777" w:rsidR="00D15027" w:rsidRPr="00B82DB8" w:rsidRDefault="00D15027" w:rsidP="00B82D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AEC71A9" w14:textId="08E5D46A" w:rsidR="00D15027" w:rsidRDefault="00D15027" w:rsidP="00D150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Work closely with Northumberland County Council, the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North of Tyne Combined Authority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the North East LEP</w:t>
            </w:r>
            <w:r w:rsidR="00AC3BDE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Department for International Trade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to deliver economic growth in No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rthumberland and the wider area.</w:t>
            </w:r>
          </w:p>
          <w:p w14:paraId="0BD1555C" w14:textId="77777777" w:rsidR="00D15027" w:rsidRDefault="00D15027" w:rsidP="00D1502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78C472B9" w14:textId="77777777" w:rsidR="00780499" w:rsidRDefault="002548B0" w:rsidP="00D150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colleagues across Advance Northumberland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align functional strategy and direction in support of the Corporate Strategy. </w:t>
            </w:r>
          </w:p>
          <w:p w14:paraId="23722E47" w14:textId="77777777" w:rsidR="00CB1ADC" w:rsidRPr="002A7A8D" w:rsidRDefault="00CB1ADC" w:rsidP="002A7A8D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661210" w14:textId="77777777" w:rsidR="00CB1ADC" w:rsidRPr="00B82DB8" w:rsidRDefault="00CB1ADC" w:rsidP="002A7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management responsibilit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y for business support activity.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2577" w:rsidRPr="00F06F63" w14:paraId="648947E1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2CD66234" w14:textId="77777777" w:rsidR="00A83228" w:rsidRPr="00F06F63" w:rsidRDefault="00A83228" w:rsidP="00A8322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Principal Duties</w:t>
            </w:r>
          </w:p>
          <w:p w14:paraId="378232AB" w14:textId="77777777" w:rsidR="00A83228" w:rsidRPr="00F06F63" w:rsidRDefault="00A83228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18DE926E" w14:textId="77777777" w:rsidR="00FB1966" w:rsidRPr="00F06F63" w:rsidRDefault="00FB1966" w:rsidP="002F228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A4444D" w14:textId="79EC21ED" w:rsidR="00D1374B" w:rsidRDefault="008253E8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evelop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deliver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pipeline of activity in relation to </w:t>
            </w:r>
            <w:r w:rsidR="007164A5">
              <w:rPr>
                <w:rFonts w:ascii="Arial" w:hAnsi="Arial" w:cs="Arial"/>
                <w:color w:val="000000" w:themeColor="text1"/>
                <w:sz w:val="22"/>
                <w:szCs w:val="22"/>
              </w:rPr>
              <w:t>offshore wind</w:t>
            </w:r>
            <w:r w:rsidR="00463F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inward investment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, working closely with colleagues acr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oss Advance Northumberland</w:t>
            </w:r>
            <w:r w:rsidR="00AC1CE6">
              <w:rPr>
                <w:rFonts w:ascii="Arial" w:hAnsi="Arial" w:cs="Arial"/>
                <w:color w:val="000000" w:themeColor="text1"/>
                <w:sz w:val="22"/>
                <w:szCs w:val="22"/>
              </w:rPr>
              <w:t>, Northumberland County Council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North Tyne Combine Authority 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and external partners.</w:t>
            </w:r>
          </w:p>
          <w:p w14:paraId="11DD1C9C" w14:textId="77777777" w:rsidR="00D1374B" w:rsidRPr="009F7DBB" w:rsidRDefault="00D1374B" w:rsidP="00D137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828F9D" w14:textId="5B418DAB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Garamond" w:hAnsi="Arial" w:cs="Arial"/>
                <w:szCs w:val="24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Leading Business Development &amp; Marketing campaigns, and creating a strong inward investment narrative, that will generate new </w:t>
            </w:r>
            <w:r w:rsidR="007164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offshore wind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sector inward investment leads for the area. </w:t>
            </w:r>
          </w:p>
          <w:p w14:paraId="587582C9" w14:textId="6FFF7304" w:rsidR="00296976" w:rsidRPr="007740EE" w:rsidRDefault="009F7DBB" w:rsidP="007740EE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Using research, sector insights and experts to assist with the creation of a strategy and implementation plan that supports growth of the </w:t>
            </w:r>
            <w:r w:rsidR="007164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offshore wind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sector across N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orth of Tyne Combined Authority.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F9FFEEB" w14:textId="77777777" w:rsidR="008568EA" w:rsidRDefault="008568EA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CAFD91" w14:textId="77777777" w:rsidR="008568EA" w:rsidRDefault="008568EA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F626A33" w14:textId="77777777" w:rsidR="008568EA" w:rsidRDefault="008568EA" w:rsidP="008568EA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9D3FA4" w14:textId="3D6E6696" w:rsidR="002548B0" w:rsidRDefault="002548B0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Deliver high quality and effective services to meet the needs of b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usinesses within Northumberland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m</w:t>
            </w:r>
            <w:r w:rsidR="009F7DBB"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aintain strong relationships 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</w:t>
            </w:r>
            <w:r w:rsidR="009F7DBB"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partners to drive economic growth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2036571" w14:textId="77777777" w:rsidR="004F1EA9" w:rsidRPr="009F7DBB" w:rsidRDefault="004F1EA9" w:rsidP="009F7D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578C8D" w14:textId="1A16AFBB" w:rsidR="003F0767" w:rsidRDefault="004F1EA9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Facilitate and/or deliver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development and support services 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stimulate growth in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Northumberland</w:t>
            </w:r>
            <w:r w:rsidR="0049182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068C96D" w14:textId="77777777" w:rsidR="009F7DBB" w:rsidRPr="009F7DBB" w:rsidRDefault="009F7DBB" w:rsidP="009F7DB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B7B14C" w14:textId="77777777" w:rsidR="003F0767" w:rsidRPr="00491822" w:rsidRDefault="003F0767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Liaise with external partners and respond to enquiries relating to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growth and investment.</w:t>
            </w:r>
          </w:p>
          <w:p w14:paraId="0986507A" w14:textId="77777777" w:rsidR="00491822" w:rsidRPr="009F7DBB" w:rsidRDefault="00491822" w:rsidP="00491822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7AD49" w14:textId="697F46EE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 portfolio of </w:t>
            </w:r>
            <w:r w:rsidR="007740E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electronation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investment enquiries throughout the inward investment life cycle</w:t>
            </w:r>
          </w:p>
          <w:p w14:paraId="465FA5FB" w14:textId="77777777" w:rsidR="009F7DBB" w:rsidRPr="009F7DBB" w:rsidRDefault="009F7DBB" w:rsidP="009F7DB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6F6D91" w14:textId="44DB0618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Supporting the growth of existing </w:t>
            </w:r>
            <w:r w:rsidR="007164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offshore wind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sector companies, through the delivery of account management activity</w:t>
            </w:r>
          </w:p>
          <w:p w14:paraId="046651AB" w14:textId="77777777" w:rsidR="009F7DBB" w:rsidRDefault="009F7DBB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Growing a strong local sector relevant network and managing partner, stakeholder and external contract activity (including project &amp; CRM reporting) aligned to the NTCA funded project</w:t>
            </w:r>
            <w:r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7C930A1" w14:textId="77777777" w:rsidR="009F7DBB" w:rsidRDefault="009F7DBB" w:rsidP="009F7DB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CB3647" w14:textId="64D7708D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Represent Advance Northumberland as required at meetings and events.</w:t>
            </w:r>
          </w:p>
          <w:p w14:paraId="00CA1B63" w14:textId="592C1B9A" w:rsidR="009F7DBB" w:rsidRPr="009F7DBB" w:rsidRDefault="009F7DBB" w:rsidP="009F7D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529FB" w:rsidRPr="00F06F63" w14:paraId="2D2C4EF6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114DEA60" w14:textId="3F0AC544" w:rsidR="00F529FB" w:rsidRPr="00F06F63" w:rsidRDefault="00F529FB" w:rsidP="00A8322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Knowledge and Skills</w:t>
            </w:r>
          </w:p>
        </w:tc>
        <w:tc>
          <w:tcPr>
            <w:tcW w:w="8959" w:type="dxa"/>
          </w:tcPr>
          <w:p w14:paraId="5BB6321A" w14:textId="77777777" w:rsidR="00F529FB" w:rsidRDefault="00F529FB" w:rsidP="00F529FB">
            <w:pPr>
              <w:pStyle w:val="ListParagraph"/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CC6D5F" w14:textId="1D6D8B22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knowledge and experience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7164A5">
              <w:rPr>
                <w:rFonts w:ascii="Arial" w:hAnsi="Arial" w:cs="Arial"/>
                <w:color w:val="000000" w:themeColor="text1"/>
                <w:sz w:val="22"/>
                <w:szCs w:val="22"/>
              </w:rPr>
              <w:t>offshore wind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sector and ecosystem in the North East and UK.</w:t>
            </w:r>
          </w:p>
          <w:p w14:paraId="158CAD41" w14:textId="77777777" w:rsidR="00F529FB" w:rsidRPr="00EE42E5" w:rsidRDefault="00F529FB" w:rsidP="00F529FB">
            <w:pPr>
              <w:pStyle w:val="ListParagraph"/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DF64FD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Cs w:val="24"/>
                <w:lang w:val="en-GB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Knowledge and detailed understanding of the inward investment process and effective enquiry management. </w:t>
            </w:r>
          </w:p>
          <w:p w14:paraId="2532179A" w14:textId="77777777" w:rsidR="00F529FB" w:rsidRPr="00EE42E5" w:rsidRDefault="00F529FB" w:rsidP="00F529FB">
            <w:pPr>
              <w:pStyle w:val="ListParagraph"/>
              <w:textAlignment w:val="baseline"/>
              <w:rPr>
                <w:rFonts w:ascii="Arial" w:hAnsi="Arial" w:cs="Arial"/>
                <w:szCs w:val="24"/>
                <w:lang w:val="en-GB"/>
              </w:rPr>
            </w:pPr>
          </w:p>
          <w:p w14:paraId="0DC032AF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Knowledge of account management processes</w:t>
            </w:r>
            <w:r>
              <w:rPr>
                <w:rFonts w:ascii="Arial" w:hAnsi="Arial" w:cs="Arial"/>
                <w:sz w:val="22"/>
                <w:szCs w:val="22"/>
              </w:rPr>
              <w:t>, risk management</w:t>
            </w:r>
            <w:r w:rsidRPr="00EE42E5">
              <w:rPr>
                <w:rFonts w:ascii="Arial" w:hAnsi="Arial" w:cs="Arial"/>
                <w:sz w:val="22"/>
                <w:szCs w:val="22"/>
              </w:rPr>
              <w:t xml:space="preserve"> and best practices. </w:t>
            </w:r>
          </w:p>
          <w:p w14:paraId="21651ED8" w14:textId="77777777" w:rsidR="00F529FB" w:rsidRPr="00EE42E5" w:rsidRDefault="00F529FB" w:rsidP="00F529FB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F5D11F2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Cs w:val="24"/>
                <w:lang w:val="en-GB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Excellent research and report writing skills. </w:t>
            </w:r>
            <w:r w:rsidRPr="00EE42E5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708643B5" w14:textId="77777777" w:rsidR="00F529FB" w:rsidRPr="00EE42E5" w:rsidRDefault="00F529FB" w:rsidP="00F529FB">
            <w:pPr>
              <w:pStyle w:val="ListParagraph"/>
              <w:rPr>
                <w:rFonts w:ascii="Arial" w:hAnsi="Arial" w:cs="Arial"/>
                <w:szCs w:val="24"/>
                <w:lang w:val="en-GB"/>
              </w:rPr>
            </w:pPr>
          </w:p>
          <w:p w14:paraId="69E06BF1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Advanced interpersonal and communication skills, both formal and informal. </w:t>
            </w:r>
          </w:p>
          <w:p w14:paraId="6199D9AF" w14:textId="77777777" w:rsidR="00F529FB" w:rsidRPr="00EE42E5" w:rsidRDefault="00F529FB" w:rsidP="00F529F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41064F" w14:textId="27458B75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Demonstrable success of working in collaborative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E42E5">
              <w:rPr>
                <w:rFonts w:ascii="Arial" w:hAnsi="Arial" w:cs="Arial"/>
                <w:sz w:val="22"/>
                <w:szCs w:val="22"/>
              </w:rPr>
              <w:t xml:space="preserve"> building relationships and negotiating with senior level stakeholders and decision makers.  </w:t>
            </w:r>
          </w:p>
          <w:p w14:paraId="679BE894" w14:textId="77777777" w:rsidR="00F529FB" w:rsidRDefault="00F529FB" w:rsidP="00F529FB">
            <w:pPr>
              <w:pStyle w:val="List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3365479" w14:textId="478E3459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 xml:space="preserve">A wide range of contacts in </w:t>
            </w:r>
            <w:r w:rsidR="007164A5">
              <w:rPr>
                <w:rFonts w:ascii="Arial" w:hAnsi="Arial" w:cs="Arial"/>
                <w:sz w:val="22"/>
                <w:szCs w:val="22"/>
              </w:rPr>
              <w:t>offshore wind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42E5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stakeholders</w:t>
            </w:r>
            <w:r w:rsidRPr="00EE42E5">
              <w:rPr>
                <w:rFonts w:ascii="Arial" w:hAnsi="Arial" w:cs="Arial"/>
                <w:sz w:val="22"/>
                <w:szCs w:val="22"/>
              </w:rPr>
              <w:t>, locally and regionally.  </w:t>
            </w:r>
          </w:p>
          <w:p w14:paraId="36539693" w14:textId="77777777" w:rsidR="00F529FB" w:rsidRPr="00EE42E5" w:rsidRDefault="00F529FB" w:rsidP="00F529F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FC45F77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Strategic level business development planning experience. </w:t>
            </w:r>
          </w:p>
          <w:p w14:paraId="6B8F3ECE" w14:textId="77777777" w:rsidR="00F529FB" w:rsidRPr="00F529FB" w:rsidRDefault="00F529FB" w:rsidP="00F529FB">
            <w:p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695839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delivering </w:t>
            </w:r>
            <w:proofErr w:type="spellStart"/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localised</w:t>
            </w:r>
            <w:proofErr w:type="spellEnd"/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support initiatives and networks.</w:t>
            </w:r>
          </w:p>
          <w:p w14:paraId="716A786B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9A8880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Understand Northumberland’s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key priority sectors and business landscape. </w:t>
            </w:r>
          </w:p>
          <w:p w14:paraId="6F735211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203F87" w14:textId="77777777" w:rsidR="00F529FB" w:rsidRPr="00DE2941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Able to work flexibly and innovatively to deliver key activities.</w:t>
            </w:r>
          </w:p>
          <w:p w14:paraId="56B7BD92" w14:textId="77777777" w:rsidR="00F529FB" w:rsidRPr="00F529FB" w:rsidRDefault="00F529FB" w:rsidP="00F529FB">
            <w:pPr>
              <w:textAlignment w:val="baseline"/>
              <w:rPr>
                <w:rFonts w:ascii="Museo Sans Rounded 300" w:hAnsi="Museo Sans Rounded 300" w:cs="Arial"/>
                <w:sz w:val="22"/>
                <w:szCs w:val="22"/>
              </w:rPr>
            </w:pPr>
          </w:p>
          <w:p w14:paraId="2A7E9320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managing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 sector funding for infrastructur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e, regeneration and development.</w:t>
            </w:r>
          </w:p>
          <w:p w14:paraId="54DEF96E" w14:textId="77777777" w:rsidR="00F529FB" w:rsidRPr="00DE2941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47748E" w14:textId="77777777" w:rsidR="008568EA" w:rsidRPr="008568EA" w:rsidRDefault="008568EA" w:rsidP="008568EA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13E3C1" w14:textId="0D90FAFA" w:rsidR="00F529FB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Budget management experience.</w:t>
            </w:r>
          </w:p>
          <w:p w14:paraId="5B152114" w14:textId="77777777" w:rsidR="00F529FB" w:rsidRPr="00DE2941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A2DE6C" w14:textId="77777777" w:rsidR="00F529FB" w:rsidRPr="00F06F63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supporting the development of business cases and gathering evidence to support the business case.</w:t>
            </w:r>
          </w:p>
          <w:p w14:paraId="073BAD21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6D80F1" w14:textId="022F320F" w:rsid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 interpersonal skill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 and strong networking skills.</w:t>
            </w:r>
          </w:p>
          <w:p w14:paraId="03602ED6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8BA3EF" w14:textId="77777777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Able to work as part of a team and support the Mission, Vision and Values of </w:t>
            </w:r>
            <w:r w:rsidRPr="00F529FB">
              <w:rPr>
                <w:rFonts w:ascii="Arial" w:hAnsi="Arial" w:cs="Arial"/>
                <w:color w:val="000000" w:themeColor="text1"/>
                <w:sz w:val="22"/>
                <w:szCs w:val="22"/>
              </w:rPr>
              <w:t>Advance Northumberland.</w:t>
            </w:r>
          </w:p>
          <w:p w14:paraId="7D1CFC1C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90D360" w14:textId="77777777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High levels of personal motivation and ambition. </w:t>
            </w:r>
          </w:p>
          <w:p w14:paraId="6A09E9C8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D530414" w14:textId="2E42E67B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Able to work effectively under pressure and with minimal support. </w:t>
            </w:r>
          </w:p>
          <w:p w14:paraId="752525E9" w14:textId="2372C1A1" w:rsidR="00F529FB" w:rsidRPr="00F06F63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EA0F1C3" w14:textId="77777777" w:rsidR="00601A23" w:rsidRPr="00F06F63" w:rsidRDefault="00601A2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67A4B2" w14:textId="77777777" w:rsidR="00656C26" w:rsidRDefault="00656C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63F37" w14:textId="77777777" w:rsidR="002A7A8D" w:rsidRDefault="002A7A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54193E" w14:textId="77777777" w:rsidR="002A7A8D" w:rsidRPr="00F06F63" w:rsidRDefault="002A7A8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2"/>
      </w:tblGrid>
      <w:tr w:rsidR="00656C26" w:rsidRPr="00F06F63" w14:paraId="1C707229" w14:textId="77777777" w:rsidTr="00EA4E1F">
        <w:trPr>
          <w:jc w:val="center"/>
        </w:trPr>
        <w:tc>
          <w:tcPr>
            <w:tcW w:w="10892" w:type="dxa"/>
          </w:tcPr>
          <w:p w14:paraId="19592788" w14:textId="77777777" w:rsidR="00656C26" w:rsidRPr="00F06F63" w:rsidRDefault="00656C26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information contained within the role profile provides a summary of the principle duties and responsibilities associated with the post. The role profile may change to meet operational deman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d and business needs, and any material change will be subject to discussion and consultation.</w:t>
            </w:r>
          </w:p>
          <w:p w14:paraId="0C4E553D" w14:textId="77777777" w:rsidR="00656C26" w:rsidRPr="00F06F63" w:rsidRDefault="00656C26" w:rsidP="008078AC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A5F70C" w14:textId="77777777" w:rsidR="00656C26" w:rsidRDefault="00656C26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role profiles, and the associated duties,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bound by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Advance Northumberland’s People and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Corporate Policies.</w:t>
            </w:r>
          </w:p>
          <w:p w14:paraId="202AE4EB" w14:textId="77777777" w:rsidR="00CC7AFE" w:rsidRPr="008568EA" w:rsidRDefault="00CC7AFE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23E29B" w14:textId="1CB915E0" w:rsidR="00CC7AFE" w:rsidRDefault="008568EA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568EA">
              <w:rPr>
                <w:rFonts w:ascii="Arial" w:hAnsi="Arial" w:cs="Arial"/>
                <w:sz w:val="22"/>
                <w:szCs w:val="22"/>
              </w:rPr>
              <w:t>This role is funded by the North of Tyne Combined Authority</w:t>
            </w:r>
            <w:r w:rsidR="006406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8CDEB" w14:textId="72A73EDF" w:rsidR="006406A3" w:rsidRPr="00F06F63" w:rsidRDefault="006406A3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0D854CE" w14:textId="77777777" w:rsidR="00656C26" w:rsidRPr="00F06F63" w:rsidRDefault="00656C2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56C26" w:rsidRPr="00F06F63" w:rsidSect="00601A23">
      <w:headerReference w:type="default" r:id="rId11"/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2C61" w14:textId="77777777" w:rsidR="00F27584" w:rsidRDefault="00F27584" w:rsidP="00601A23">
      <w:r>
        <w:separator/>
      </w:r>
    </w:p>
  </w:endnote>
  <w:endnote w:type="continuationSeparator" w:id="0">
    <w:p w14:paraId="6F463F3E" w14:textId="77777777" w:rsidR="00F27584" w:rsidRDefault="00F27584" w:rsidP="0060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3884" w14:textId="77777777" w:rsidR="00F27584" w:rsidRDefault="00F27584" w:rsidP="00601A23">
      <w:r>
        <w:separator/>
      </w:r>
    </w:p>
  </w:footnote>
  <w:footnote w:type="continuationSeparator" w:id="0">
    <w:p w14:paraId="34B96075" w14:textId="77777777" w:rsidR="00F27584" w:rsidRDefault="00F27584" w:rsidP="0060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A203" w14:textId="50771127" w:rsidR="00601A23" w:rsidRDefault="007C1FE2" w:rsidP="00601A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val="en-GB"/>
      </w:rPr>
      <w:drawing>
        <wp:anchor distT="0" distB="0" distL="114300" distR="114300" simplePos="0" relativeHeight="251662336" behindDoc="1" locked="0" layoutInCell="1" allowOverlap="1" wp14:anchorId="793A385C" wp14:editId="497E80C3">
          <wp:simplePos x="0" y="0"/>
          <wp:positionH relativeFrom="margin">
            <wp:align>left</wp:align>
          </wp:positionH>
          <wp:positionV relativeFrom="paragraph">
            <wp:posOffset>-133138</wp:posOffset>
          </wp:positionV>
          <wp:extent cx="690033" cy="735542"/>
          <wp:effectExtent l="0" t="0" r="0" b="7620"/>
          <wp:wrapNone/>
          <wp:docPr id="5" name="Picture 5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90" cy="73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DB8" w:rsidRPr="008C3E87">
      <w:rPr>
        <w:rFonts w:ascii="Arial" w:hAnsi="Arial" w:cs="Arial"/>
        <w:b/>
        <w:noProof/>
        <w:sz w:val="36"/>
        <w:szCs w:val="36"/>
        <w:lang w:val="en-GB"/>
      </w:rPr>
      <w:drawing>
        <wp:anchor distT="0" distB="0" distL="114300" distR="114300" simplePos="0" relativeHeight="251661312" behindDoc="0" locked="0" layoutInCell="1" allowOverlap="1" wp14:anchorId="2B97069C" wp14:editId="03D809AC">
          <wp:simplePos x="0" y="0"/>
          <wp:positionH relativeFrom="column">
            <wp:posOffset>4278232</wp:posOffset>
          </wp:positionH>
          <wp:positionV relativeFrom="paragraph">
            <wp:posOffset>-423213</wp:posOffset>
          </wp:positionV>
          <wp:extent cx="2758509" cy="924369"/>
          <wp:effectExtent l="0" t="0" r="3810" b="9525"/>
          <wp:wrapNone/>
          <wp:docPr id="3" name="Picture 3" descr="C:\Users\julie.dodds\Downloads\Advance_Northumberla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.dodds\Downloads\Advance_Northumberland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509" cy="9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63851" w14:textId="77777777" w:rsidR="00601A23" w:rsidRDefault="00601A23" w:rsidP="00601A23">
    <w:pPr>
      <w:pStyle w:val="Header"/>
      <w:rPr>
        <w:rFonts w:ascii="Arial" w:hAnsi="Arial" w:cs="Arial"/>
        <w:b/>
        <w:sz w:val="36"/>
        <w:szCs w:val="36"/>
      </w:rPr>
    </w:pPr>
  </w:p>
  <w:p w14:paraId="11C36FB1" w14:textId="77777777" w:rsidR="007C1FE2" w:rsidRPr="007C1FE2" w:rsidRDefault="007C1FE2" w:rsidP="00601A23">
    <w:pPr>
      <w:pStyle w:val="Header"/>
      <w:rPr>
        <w:rFonts w:ascii="Arial" w:hAnsi="Arial" w:cs="Arial"/>
        <w:b/>
        <w:sz w:val="2"/>
        <w:szCs w:val="2"/>
      </w:rPr>
    </w:pPr>
  </w:p>
  <w:p w14:paraId="047B2C22" w14:textId="11A09612" w:rsidR="00601A23" w:rsidRPr="00601A23" w:rsidRDefault="00B82DB8" w:rsidP="007C1FE2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ADVANCE NORTHUMBERLAND</w:t>
    </w:r>
    <w:r w:rsidR="00601A23" w:rsidRPr="00601A23">
      <w:rPr>
        <w:rFonts w:ascii="Arial" w:hAnsi="Arial" w:cs="Arial"/>
        <w:b/>
        <w:sz w:val="36"/>
        <w:szCs w:val="36"/>
      </w:rPr>
      <w:t xml:space="preserve"> 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CA9"/>
    <w:multiLevelType w:val="hybridMultilevel"/>
    <w:tmpl w:val="326C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20D"/>
    <w:multiLevelType w:val="hybridMultilevel"/>
    <w:tmpl w:val="571C5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87C65"/>
    <w:multiLevelType w:val="hybridMultilevel"/>
    <w:tmpl w:val="E1DC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382"/>
    <w:multiLevelType w:val="hybridMultilevel"/>
    <w:tmpl w:val="6FD0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3F6"/>
    <w:multiLevelType w:val="hybridMultilevel"/>
    <w:tmpl w:val="29CE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F9A"/>
    <w:multiLevelType w:val="hybridMultilevel"/>
    <w:tmpl w:val="5E38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1620"/>
    <w:multiLevelType w:val="hybridMultilevel"/>
    <w:tmpl w:val="B604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21A2"/>
    <w:multiLevelType w:val="hybridMultilevel"/>
    <w:tmpl w:val="DB6AF53E"/>
    <w:lvl w:ilvl="0" w:tplc="1C0A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469"/>
    <w:multiLevelType w:val="hybridMultilevel"/>
    <w:tmpl w:val="8840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13B"/>
    <w:multiLevelType w:val="hybridMultilevel"/>
    <w:tmpl w:val="558C41EC"/>
    <w:lvl w:ilvl="0" w:tplc="ED987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38B5"/>
    <w:multiLevelType w:val="hybridMultilevel"/>
    <w:tmpl w:val="73D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6DF9"/>
    <w:multiLevelType w:val="hybridMultilevel"/>
    <w:tmpl w:val="70FC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1720"/>
    <w:multiLevelType w:val="hybridMultilevel"/>
    <w:tmpl w:val="44BA09C8"/>
    <w:lvl w:ilvl="0" w:tplc="CD6E912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7B7966"/>
    <w:multiLevelType w:val="hybridMultilevel"/>
    <w:tmpl w:val="1CA0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0537"/>
    <w:multiLevelType w:val="hybridMultilevel"/>
    <w:tmpl w:val="70F28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336278"/>
    <w:multiLevelType w:val="hybridMultilevel"/>
    <w:tmpl w:val="D7B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C11CD"/>
    <w:multiLevelType w:val="hybridMultilevel"/>
    <w:tmpl w:val="4B5E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7181"/>
    <w:multiLevelType w:val="hybridMultilevel"/>
    <w:tmpl w:val="61EE60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791F8A"/>
    <w:multiLevelType w:val="hybridMultilevel"/>
    <w:tmpl w:val="9B20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26C7"/>
    <w:multiLevelType w:val="hybridMultilevel"/>
    <w:tmpl w:val="C90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2A39"/>
    <w:multiLevelType w:val="hybridMultilevel"/>
    <w:tmpl w:val="9C223E1C"/>
    <w:lvl w:ilvl="0" w:tplc="B6CEB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15"/>
  </w:num>
  <w:num w:numId="13">
    <w:abstractNumId w:val="19"/>
  </w:num>
  <w:num w:numId="14">
    <w:abstractNumId w:val="5"/>
  </w:num>
  <w:num w:numId="15">
    <w:abstractNumId w:val="14"/>
  </w:num>
  <w:num w:numId="16">
    <w:abstractNumId w:val="20"/>
  </w:num>
  <w:num w:numId="17">
    <w:abstractNumId w:val="9"/>
  </w:num>
  <w:num w:numId="18">
    <w:abstractNumId w:val="13"/>
  </w:num>
  <w:num w:numId="19">
    <w:abstractNumId w:val="0"/>
  </w:num>
  <w:num w:numId="20">
    <w:abstractNumId w:val="6"/>
  </w:num>
  <w:num w:numId="21">
    <w:abstractNumId w:val="17"/>
  </w:num>
  <w:num w:numId="22">
    <w:abstractNumId w:val="12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23"/>
    <w:rsid w:val="00002F6F"/>
    <w:rsid w:val="0001643A"/>
    <w:rsid w:val="00023E85"/>
    <w:rsid w:val="00033E95"/>
    <w:rsid w:val="0004227F"/>
    <w:rsid w:val="000638DD"/>
    <w:rsid w:val="00067954"/>
    <w:rsid w:val="00090D60"/>
    <w:rsid w:val="00092A5A"/>
    <w:rsid w:val="000A3D83"/>
    <w:rsid w:val="000A5C5B"/>
    <w:rsid w:val="000B5A7C"/>
    <w:rsid w:val="000C0754"/>
    <w:rsid w:val="000C5B9B"/>
    <w:rsid w:val="000C6AAA"/>
    <w:rsid w:val="000D0F13"/>
    <w:rsid w:val="000E2BEB"/>
    <w:rsid w:val="000E5F90"/>
    <w:rsid w:val="000E65DC"/>
    <w:rsid w:val="000F4826"/>
    <w:rsid w:val="00104DF8"/>
    <w:rsid w:val="00124400"/>
    <w:rsid w:val="00141C59"/>
    <w:rsid w:val="00143431"/>
    <w:rsid w:val="00157234"/>
    <w:rsid w:val="0017077C"/>
    <w:rsid w:val="00176337"/>
    <w:rsid w:val="0018240F"/>
    <w:rsid w:val="001A2577"/>
    <w:rsid w:val="001A66AF"/>
    <w:rsid w:val="001A7593"/>
    <w:rsid w:val="001B7C4B"/>
    <w:rsid w:val="001C5820"/>
    <w:rsid w:val="001F09F8"/>
    <w:rsid w:val="001F241B"/>
    <w:rsid w:val="001F5E21"/>
    <w:rsid w:val="002041D8"/>
    <w:rsid w:val="00207606"/>
    <w:rsid w:val="00224780"/>
    <w:rsid w:val="0023255D"/>
    <w:rsid w:val="00232C2C"/>
    <w:rsid w:val="002333D9"/>
    <w:rsid w:val="00234D54"/>
    <w:rsid w:val="002410E2"/>
    <w:rsid w:val="00244088"/>
    <w:rsid w:val="002548B0"/>
    <w:rsid w:val="0028019E"/>
    <w:rsid w:val="00283178"/>
    <w:rsid w:val="00286403"/>
    <w:rsid w:val="00295CD0"/>
    <w:rsid w:val="00296976"/>
    <w:rsid w:val="002A2F80"/>
    <w:rsid w:val="002A7A8D"/>
    <w:rsid w:val="002C2762"/>
    <w:rsid w:val="002D6FDE"/>
    <w:rsid w:val="002E0FA1"/>
    <w:rsid w:val="002F228A"/>
    <w:rsid w:val="002F282B"/>
    <w:rsid w:val="00303076"/>
    <w:rsid w:val="0030382F"/>
    <w:rsid w:val="003074CE"/>
    <w:rsid w:val="0032606F"/>
    <w:rsid w:val="0033162F"/>
    <w:rsid w:val="00331DE6"/>
    <w:rsid w:val="003370E4"/>
    <w:rsid w:val="00347B0F"/>
    <w:rsid w:val="00352760"/>
    <w:rsid w:val="00364E00"/>
    <w:rsid w:val="00373521"/>
    <w:rsid w:val="00376477"/>
    <w:rsid w:val="003773AE"/>
    <w:rsid w:val="00386C6B"/>
    <w:rsid w:val="00393C07"/>
    <w:rsid w:val="00394254"/>
    <w:rsid w:val="003A2531"/>
    <w:rsid w:val="003B6349"/>
    <w:rsid w:val="003D250A"/>
    <w:rsid w:val="003D314D"/>
    <w:rsid w:val="003D3E74"/>
    <w:rsid w:val="003E06DB"/>
    <w:rsid w:val="003E1082"/>
    <w:rsid w:val="003E119C"/>
    <w:rsid w:val="003E3242"/>
    <w:rsid w:val="003E45DC"/>
    <w:rsid w:val="003E761C"/>
    <w:rsid w:val="003E7D01"/>
    <w:rsid w:val="003F0767"/>
    <w:rsid w:val="00415EAC"/>
    <w:rsid w:val="0041652E"/>
    <w:rsid w:val="00427155"/>
    <w:rsid w:val="00430403"/>
    <w:rsid w:val="004341F4"/>
    <w:rsid w:val="0043484D"/>
    <w:rsid w:val="004452AB"/>
    <w:rsid w:val="00451AB9"/>
    <w:rsid w:val="00451D39"/>
    <w:rsid w:val="00453F9E"/>
    <w:rsid w:val="004558DD"/>
    <w:rsid w:val="00463FDA"/>
    <w:rsid w:val="0046444C"/>
    <w:rsid w:val="00472396"/>
    <w:rsid w:val="0047520E"/>
    <w:rsid w:val="0048576B"/>
    <w:rsid w:val="0048610E"/>
    <w:rsid w:val="0048770B"/>
    <w:rsid w:val="004877EF"/>
    <w:rsid w:val="00491822"/>
    <w:rsid w:val="00495587"/>
    <w:rsid w:val="004A46B8"/>
    <w:rsid w:val="004A476B"/>
    <w:rsid w:val="004B0C18"/>
    <w:rsid w:val="004C53D5"/>
    <w:rsid w:val="004C68D7"/>
    <w:rsid w:val="004C7E6E"/>
    <w:rsid w:val="004D013A"/>
    <w:rsid w:val="004D0F4B"/>
    <w:rsid w:val="004D1587"/>
    <w:rsid w:val="004D1AB5"/>
    <w:rsid w:val="004E7039"/>
    <w:rsid w:val="004F1EA9"/>
    <w:rsid w:val="00502C37"/>
    <w:rsid w:val="00504B04"/>
    <w:rsid w:val="0050773E"/>
    <w:rsid w:val="00511C9A"/>
    <w:rsid w:val="00517880"/>
    <w:rsid w:val="00521779"/>
    <w:rsid w:val="00524D15"/>
    <w:rsid w:val="00542583"/>
    <w:rsid w:val="0055000C"/>
    <w:rsid w:val="0056052F"/>
    <w:rsid w:val="00561C36"/>
    <w:rsid w:val="00566961"/>
    <w:rsid w:val="00571F56"/>
    <w:rsid w:val="00575CCE"/>
    <w:rsid w:val="00580ABE"/>
    <w:rsid w:val="00583703"/>
    <w:rsid w:val="005A1FCD"/>
    <w:rsid w:val="005A3D73"/>
    <w:rsid w:val="005C1B60"/>
    <w:rsid w:val="005C293D"/>
    <w:rsid w:val="005C7085"/>
    <w:rsid w:val="005C7327"/>
    <w:rsid w:val="005D451E"/>
    <w:rsid w:val="005E0E27"/>
    <w:rsid w:val="005E39BD"/>
    <w:rsid w:val="005F5162"/>
    <w:rsid w:val="005F60A6"/>
    <w:rsid w:val="0060074B"/>
    <w:rsid w:val="00601A23"/>
    <w:rsid w:val="00606D75"/>
    <w:rsid w:val="006223BE"/>
    <w:rsid w:val="00622E94"/>
    <w:rsid w:val="00627B1F"/>
    <w:rsid w:val="006406A3"/>
    <w:rsid w:val="0064595D"/>
    <w:rsid w:val="00656C26"/>
    <w:rsid w:val="0066177F"/>
    <w:rsid w:val="00677397"/>
    <w:rsid w:val="006909CB"/>
    <w:rsid w:val="006B1CE3"/>
    <w:rsid w:val="006C78FD"/>
    <w:rsid w:val="006D28DD"/>
    <w:rsid w:val="006E696C"/>
    <w:rsid w:val="006F0EDF"/>
    <w:rsid w:val="0070639A"/>
    <w:rsid w:val="00715D80"/>
    <w:rsid w:val="007164A5"/>
    <w:rsid w:val="007212D7"/>
    <w:rsid w:val="00721BC7"/>
    <w:rsid w:val="007221B0"/>
    <w:rsid w:val="00736DAC"/>
    <w:rsid w:val="00737BAA"/>
    <w:rsid w:val="0074255D"/>
    <w:rsid w:val="007470A5"/>
    <w:rsid w:val="00763A5D"/>
    <w:rsid w:val="007665B3"/>
    <w:rsid w:val="0076677E"/>
    <w:rsid w:val="00770DF0"/>
    <w:rsid w:val="007728C5"/>
    <w:rsid w:val="007740EE"/>
    <w:rsid w:val="00780499"/>
    <w:rsid w:val="00783123"/>
    <w:rsid w:val="00790FAC"/>
    <w:rsid w:val="00792189"/>
    <w:rsid w:val="00796476"/>
    <w:rsid w:val="007B3BAD"/>
    <w:rsid w:val="007B4F5C"/>
    <w:rsid w:val="007C1FE2"/>
    <w:rsid w:val="007C7B15"/>
    <w:rsid w:val="007D2444"/>
    <w:rsid w:val="007E5EA4"/>
    <w:rsid w:val="007F61EC"/>
    <w:rsid w:val="007F7A20"/>
    <w:rsid w:val="008078AC"/>
    <w:rsid w:val="008157F0"/>
    <w:rsid w:val="00820321"/>
    <w:rsid w:val="008253E8"/>
    <w:rsid w:val="008266A9"/>
    <w:rsid w:val="008376C9"/>
    <w:rsid w:val="0084671E"/>
    <w:rsid w:val="00846791"/>
    <w:rsid w:val="008568EA"/>
    <w:rsid w:val="00860C35"/>
    <w:rsid w:val="00860FE9"/>
    <w:rsid w:val="00863818"/>
    <w:rsid w:val="00864E15"/>
    <w:rsid w:val="00866042"/>
    <w:rsid w:val="00870D13"/>
    <w:rsid w:val="00874D46"/>
    <w:rsid w:val="008A6FB5"/>
    <w:rsid w:val="008B33A0"/>
    <w:rsid w:val="008B53A4"/>
    <w:rsid w:val="008D4B55"/>
    <w:rsid w:val="008E4BDE"/>
    <w:rsid w:val="008F24A7"/>
    <w:rsid w:val="008F4E62"/>
    <w:rsid w:val="00901705"/>
    <w:rsid w:val="0090759B"/>
    <w:rsid w:val="00911B5E"/>
    <w:rsid w:val="00913C00"/>
    <w:rsid w:val="00914E17"/>
    <w:rsid w:val="00921C14"/>
    <w:rsid w:val="009330A9"/>
    <w:rsid w:val="00940AF9"/>
    <w:rsid w:val="00944EB8"/>
    <w:rsid w:val="009511B3"/>
    <w:rsid w:val="00954C13"/>
    <w:rsid w:val="00962C7B"/>
    <w:rsid w:val="0097636C"/>
    <w:rsid w:val="00986A4F"/>
    <w:rsid w:val="009A1E2A"/>
    <w:rsid w:val="009A5FD3"/>
    <w:rsid w:val="009A70B3"/>
    <w:rsid w:val="009C39B5"/>
    <w:rsid w:val="009C4DDC"/>
    <w:rsid w:val="009D2716"/>
    <w:rsid w:val="009F6EE6"/>
    <w:rsid w:val="009F7DBB"/>
    <w:rsid w:val="00A01828"/>
    <w:rsid w:val="00A076C9"/>
    <w:rsid w:val="00A25C13"/>
    <w:rsid w:val="00A32261"/>
    <w:rsid w:val="00A345BA"/>
    <w:rsid w:val="00A36B36"/>
    <w:rsid w:val="00A431A9"/>
    <w:rsid w:val="00A47BCB"/>
    <w:rsid w:val="00A638D5"/>
    <w:rsid w:val="00A67623"/>
    <w:rsid w:val="00A73E7C"/>
    <w:rsid w:val="00A74E43"/>
    <w:rsid w:val="00A76AEB"/>
    <w:rsid w:val="00A83228"/>
    <w:rsid w:val="00A85469"/>
    <w:rsid w:val="00A875BC"/>
    <w:rsid w:val="00A9002F"/>
    <w:rsid w:val="00A9249F"/>
    <w:rsid w:val="00AA118E"/>
    <w:rsid w:val="00AB1CE6"/>
    <w:rsid w:val="00AB5F10"/>
    <w:rsid w:val="00AC1CE6"/>
    <w:rsid w:val="00AC3BDE"/>
    <w:rsid w:val="00AC74E2"/>
    <w:rsid w:val="00AC7BAB"/>
    <w:rsid w:val="00AD050C"/>
    <w:rsid w:val="00AD4A7A"/>
    <w:rsid w:val="00AE4899"/>
    <w:rsid w:val="00AE548D"/>
    <w:rsid w:val="00AE6E12"/>
    <w:rsid w:val="00AF4022"/>
    <w:rsid w:val="00AF407A"/>
    <w:rsid w:val="00B05608"/>
    <w:rsid w:val="00B1676A"/>
    <w:rsid w:val="00B470C9"/>
    <w:rsid w:val="00B57041"/>
    <w:rsid w:val="00B6227D"/>
    <w:rsid w:val="00B65803"/>
    <w:rsid w:val="00B747A8"/>
    <w:rsid w:val="00B82DB8"/>
    <w:rsid w:val="00B866B3"/>
    <w:rsid w:val="00B901B4"/>
    <w:rsid w:val="00BB00C7"/>
    <w:rsid w:val="00BC576B"/>
    <w:rsid w:val="00BC676B"/>
    <w:rsid w:val="00BD2FE0"/>
    <w:rsid w:val="00BE352B"/>
    <w:rsid w:val="00BF71C5"/>
    <w:rsid w:val="00C001AC"/>
    <w:rsid w:val="00C0175B"/>
    <w:rsid w:val="00C066F6"/>
    <w:rsid w:val="00C10713"/>
    <w:rsid w:val="00C1133D"/>
    <w:rsid w:val="00C42633"/>
    <w:rsid w:val="00C469D6"/>
    <w:rsid w:val="00C55E3B"/>
    <w:rsid w:val="00C56667"/>
    <w:rsid w:val="00C846B7"/>
    <w:rsid w:val="00C90F95"/>
    <w:rsid w:val="00CB1ADC"/>
    <w:rsid w:val="00CC12A0"/>
    <w:rsid w:val="00CC2F35"/>
    <w:rsid w:val="00CC41EF"/>
    <w:rsid w:val="00CC6A6C"/>
    <w:rsid w:val="00CC7AFE"/>
    <w:rsid w:val="00CE0AB6"/>
    <w:rsid w:val="00CF2564"/>
    <w:rsid w:val="00CF63B4"/>
    <w:rsid w:val="00CF779B"/>
    <w:rsid w:val="00D0023C"/>
    <w:rsid w:val="00D01FC8"/>
    <w:rsid w:val="00D036FE"/>
    <w:rsid w:val="00D0474C"/>
    <w:rsid w:val="00D0590B"/>
    <w:rsid w:val="00D1374B"/>
    <w:rsid w:val="00D13B06"/>
    <w:rsid w:val="00D15027"/>
    <w:rsid w:val="00D177A1"/>
    <w:rsid w:val="00D20E54"/>
    <w:rsid w:val="00D22DAC"/>
    <w:rsid w:val="00D341BB"/>
    <w:rsid w:val="00D4049C"/>
    <w:rsid w:val="00D514E5"/>
    <w:rsid w:val="00D6598E"/>
    <w:rsid w:val="00D8231A"/>
    <w:rsid w:val="00DB10D3"/>
    <w:rsid w:val="00DB1530"/>
    <w:rsid w:val="00DB2668"/>
    <w:rsid w:val="00DB5FEE"/>
    <w:rsid w:val="00DC1AB8"/>
    <w:rsid w:val="00DD19CE"/>
    <w:rsid w:val="00DD539E"/>
    <w:rsid w:val="00DD675C"/>
    <w:rsid w:val="00DD7EDD"/>
    <w:rsid w:val="00DE0F77"/>
    <w:rsid w:val="00DE2941"/>
    <w:rsid w:val="00DF47D2"/>
    <w:rsid w:val="00E0192D"/>
    <w:rsid w:val="00E05339"/>
    <w:rsid w:val="00E05982"/>
    <w:rsid w:val="00E11AA6"/>
    <w:rsid w:val="00E17A9D"/>
    <w:rsid w:val="00E224FF"/>
    <w:rsid w:val="00E26DE6"/>
    <w:rsid w:val="00E34791"/>
    <w:rsid w:val="00E35B70"/>
    <w:rsid w:val="00E361BE"/>
    <w:rsid w:val="00E4523B"/>
    <w:rsid w:val="00E6024F"/>
    <w:rsid w:val="00E673B0"/>
    <w:rsid w:val="00E91E10"/>
    <w:rsid w:val="00EA37AC"/>
    <w:rsid w:val="00EA4E1F"/>
    <w:rsid w:val="00EB1543"/>
    <w:rsid w:val="00EB3F89"/>
    <w:rsid w:val="00EB6F18"/>
    <w:rsid w:val="00EE1171"/>
    <w:rsid w:val="00EE42E5"/>
    <w:rsid w:val="00EF0D85"/>
    <w:rsid w:val="00EF4EAD"/>
    <w:rsid w:val="00F03B81"/>
    <w:rsid w:val="00F06F63"/>
    <w:rsid w:val="00F236A3"/>
    <w:rsid w:val="00F27238"/>
    <w:rsid w:val="00F27584"/>
    <w:rsid w:val="00F403C4"/>
    <w:rsid w:val="00F529FB"/>
    <w:rsid w:val="00F533E4"/>
    <w:rsid w:val="00F60593"/>
    <w:rsid w:val="00F71937"/>
    <w:rsid w:val="00F75831"/>
    <w:rsid w:val="00F805FB"/>
    <w:rsid w:val="00F851E2"/>
    <w:rsid w:val="00F86CA5"/>
    <w:rsid w:val="00FB1966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7F52E"/>
  <w15:chartTrackingRefBased/>
  <w15:docId w15:val="{9E199DD7-2E27-4F8A-AA8A-033A7ADE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A23"/>
  </w:style>
  <w:style w:type="paragraph" w:styleId="Footer">
    <w:name w:val="footer"/>
    <w:basedOn w:val="Normal"/>
    <w:link w:val="FooterChar"/>
    <w:unhideWhenUsed/>
    <w:rsid w:val="00601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A23"/>
  </w:style>
  <w:style w:type="table" w:styleId="TableGrid">
    <w:name w:val="Table Grid"/>
    <w:basedOn w:val="TableNormal"/>
    <w:uiPriority w:val="39"/>
    <w:rsid w:val="006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qFormat/>
    <w:rsid w:val="00601A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6F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itxtrst">
    <w:name w:val="itxtrst"/>
    <w:rsid w:val="00002F6F"/>
  </w:style>
  <w:style w:type="character" w:customStyle="1" w:styleId="apple-converted-space">
    <w:name w:val="apple-converted-space"/>
    <w:rsid w:val="009F6EE6"/>
  </w:style>
  <w:style w:type="paragraph" w:customStyle="1" w:styleId="Default">
    <w:name w:val="Default"/>
    <w:rsid w:val="005F6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30307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307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E6E"/>
    <w:rPr>
      <w:b/>
      <w:bCs/>
      <w:strike w:val="0"/>
      <w:dstrike w:val="0"/>
      <w:color w:val="1380A8"/>
      <w:u w:val="none"/>
      <w:effect w:val="none"/>
    </w:rPr>
  </w:style>
  <w:style w:type="character" w:customStyle="1" w:styleId="normaltextrun">
    <w:name w:val="normaltextrun"/>
    <w:basedOn w:val="DefaultParagraphFont"/>
    <w:rsid w:val="0062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2" ma:contentTypeDescription="Create a new document." ma:contentTypeScope="" ma:versionID="8b24872a69e2ea18663c68267fb110f6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62a31a7ad24c0ba813b3a35a7801fc20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C0310-0A9B-43A9-925F-3E4DF09CE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562BE-5C8C-4018-8E11-C1E10D61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5a27e-b116-41bb-a2f3-e4ad49ea1243"/>
    <ds:schemaRef ds:uri="99148728-8235-422d-8f8d-bb2a9cf0a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F15FD-3A95-483E-87BD-46010E61E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63530-CEB4-43D4-B4DC-D359492DB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Race</dc:creator>
  <cp:keywords/>
  <dc:description/>
  <cp:lastModifiedBy>Catriona Hamilton</cp:lastModifiedBy>
  <cp:revision>3</cp:revision>
  <cp:lastPrinted>2015-01-21T15:40:00Z</cp:lastPrinted>
  <dcterms:created xsi:type="dcterms:W3CDTF">2021-10-19T09:47:00Z</dcterms:created>
  <dcterms:modified xsi:type="dcterms:W3CDTF">2022-01-04T15:38:00Z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</Properties>
</file>